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388" w:rsidRDefault="003C5388" w:rsidP="003C5388">
      <w:pPr>
        <w:spacing w:after="0" w:line="240" w:lineRule="auto"/>
        <w:jc w:val="center"/>
        <w:rPr>
          <w:rFonts w:ascii="Times New Roman" w:eastAsia="Times New Roman" w:hAnsi="Times New Roman" w:cs="Times New Roman"/>
          <w:color w:val="000000"/>
          <w:sz w:val="20"/>
          <w:szCs w:val="20"/>
          <w:lang w:val="sr-Cyrl-RS" w:eastAsia="sr-Latn-RS"/>
        </w:rPr>
      </w:pPr>
      <w:r w:rsidRPr="003C5388">
        <w:rPr>
          <w:rFonts w:ascii="Times New Roman" w:eastAsia="Times New Roman" w:hAnsi="Times New Roman" w:cs="Times New Roman"/>
          <w:b/>
          <w:bCs/>
          <w:color w:val="000000"/>
          <w:sz w:val="20"/>
          <w:szCs w:val="20"/>
          <w:lang w:eastAsia="sr-Latn-RS"/>
        </w:rPr>
        <w:t>Табела 5.2.</w:t>
      </w:r>
      <w:r w:rsidRPr="003C5388">
        <w:rPr>
          <w:rFonts w:ascii="Times New Roman" w:eastAsia="Times New Roman" w:hAnsi="Times New Roman" w:cs="Times New Roman"/>
          <w:color w:val="000000"/>
          <w:sz w:val="20"/>
          <w:szCs w:val="20"/>
          <w:lang w:eastAsia="sr-Latn-RS"/>
        </w:rPr>
        <w:t xml:space="preserve"> Спецификација предмета</w:t>
      </w:r>
    </w:p>
    <w:p w:rsidR="009916BA" w:rsidRPr="009916BA" w:rsidRDefault="009916BA" w:rsidP="003C5388">
      <w:pPr>
        <w:spacing w:after="0" w:line="240" w:lineRule="auto"/>
        <w:jc w:val="center"/>
        <w:rPr>
          <w:rFonts w:ascii="Times New Roman" w:eastAsia="Times New Roman" w:hAnsi="Times New Roman" w:cs="Times New Roman"/>
          <w:sz w:val="24"/>
          <w:szCs w:val="24"/>
          <w:lang w:val="sr-Cyrl-RS" w:eastAsia="sr-Latn-RS"/>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3496"/>
        <w:gridCol w:w="357"/>
        <w:gridCol w:w="1809"/>
        <w:gridCol w:w="523"/>
        <w:gridCol w:w="1551"/>
        <w:gridCol w:w="1547"/>
      </w:tblGrid>
      <w:tr w:rsidR="003C5388" w:rsidRPr="003C5388" w:rsidTr="003C5388">
        <w:trPr>
          <w:trHeight w:val="227"/>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9916BA" w:rsidRDefault="003C5388" w:rsidP="009916BA">
            <w:pPr>
              <w:spacing w:after="0" w:line="240" w:lineRule="auto"/>
              <w:rPr>
                <w:rFonts w:ascii="Times New Roman" w:eastAsia="Times New Roman" w:hAnsi="Times New Roman" w:cs="Times New Roman"/>
                <w:lang w:val="sr-Cyrl-RS"/>
              </w:rPr>
            </w:pPr>
            <w:r w:rsidRPr="003C5388">
              <w:rPr>
                <w:rFonts w:ascii="Times New Roman" w:eastAsia="Times New Roman" w:hAnsi="Times New Roman" w:cs="Times New Roman"/>
                <w:b/>
                <w:bCs/>
                <w:color w:val="000000"/>
                <w:sz w:val="20"/>
                <w:szCs w:val="20"/>
                <w:lang w:eastAsia="sr-Latn-RS"/>
              </w:rPr>
              <w:t xml:space="preserve">Студијски програм: </w:t>
            </w:r>
            <w:r w:rsidR="009916BA">
              <w:rPr>
                <w:rFonts w:ascii="Times New Roman" w:eastAsia="Times New Roman" w:hAnsi="Times New Roman" w:cs="Times New Roman"/>
              </w:rPr>
              <w:t xml:space="preserve">Основне академске студије </w:t>
            </w:r>
            <w:r w:rsidR="009916BA">
              <w:rPr>
                <w:rFonts w:ascii="Times New Roman" w:eastAsia="Times New Roman" w:hAnsi="Times New Roman" w:cs="Times New Roman"/>
                <w:lang w:val="sr-Cyrl-RS"/>
              </w:rPr>
              <w:t>социјалне политике и социјалног рада</w:t>
            </w:r>
          </w:p>
        </w:tc>
      </w:tr>
      <w:tr w:rsidR="003C5388" w:rsidRPr="003C5388" w:rsidTr="003C5388">
        <w:trPr>
          <w:trHeight w:val="227"/>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9916BA">
            <w:pPr>
              <w:spacing w:after="0" w:line="240" w:lineRule="auto"/>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Назив предмета: Ф</w:t>
            </w:r>
            <w:r w:rsidR="009916BA">
              <w:rPr>
                <w:rFonts w:ascii="Times New Roman" w:eastAsia="Times New Roman" w:hAnsi="Times New Roman" w:cs="Times New Roman"/>
                <w:b/>
                <w:bCs/>
                <w:color w:val="000000"/>
                <w:sz w:val="20"/>
                <w:szCs w:val="20"/>
                <w:lang w:val="sr-Cyrl-RS" w:eastAsia="sr-Latn-RS"/>
              </w:rPr>
              <w:t>ранцуски језик</w:t>
            </w:r>
            <w:r w:rsidR="00226D16">
              <w:rPr>
                <w:rFonts w:ascii="Times New Roman" w:eastAsia="Times New Roman" w:hAnsi="Times New Roman" w:cs="Times New Roman"/>
                <w:b/>
                <w:bCs/>
                <w:color w:val="000000"/>
                <w:sz w:val="20"/>
                <w:szCs w:val="20"/>
                <w:lang w:val="sr-Cyrl-RS" w:eastAsia="sr-Latn-RS"/>
              </w:rPr>
              <w:t xml:space="preserve"> А1.2</w:t>
            </w:r>
            <w:bookmarkStart w:id="0" w:name="_GoBack"/>
            <w:bookmarkEnd w:id="0"/>
            <w:r w:rsidR="009916BA">
              <w:rPr>
                <w:rFonts w:ascii="Times New Roman" w:eastAsia="Times New Roman" w:hAnsi="Times New Roman" w:cs="Times New Roman"/>
                <w:b/>
                <w:bCs/>
                <w:color w:val="000000"/>
                <w:sz w:val="20"/>
                <w:szCs w:val="20"/>
                <w:lang w:val="sr-Cyrl-RS" w:eastAsia="sr-Latn-RS"/>
              </w:rPr>
              <w:t xml:space="preserve"> </w:t>
            </w:r>
            <w:r w:rsidRPr="003C5388">
              <w:rPr>
                <w:rFonts w:ascii="Times New Roman" w:eastAsia="Times New Roman" w:hAnsi="Times New Roman" w:cs="Times New Roman"/>
                <w:b/>
                <w:bCs/>
                <w:color w:val="000000"/>
                <w:sz w:val="20"/>
                <w:szCs w:val="20"/>
                <w:lang w:eastAsia="sr-Latn-RS"/>
              </w:rPr>
              <w:t>– почетни курс 2</w:t>
            </w:r>
          </w:p>
        </w:tc>
      </w:tr>
      <w:tr w:rsidR="003C5388" w:rsidRPr="003C5388" w:rsidTr="003C5388">
        <w:trPr>
          <w:trHeight w:val="227"/>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9916BA" w:rsidP="009916BA">
            <w:pPr>
              <w:spacing w:after="0" w:line="240" w:lineRule="auto"/>
              <w:rPr>
                <w:rFonts w:ascii="Times New Roman" w:eastAsia="Times New Roman" w:hAnsi="Times New Roman" w:cs="Times New Roman"/>
                <w:sz w:val="24"/>
                <w:szCs w:val="24"/>
                <w:lang w:eastAsia="sr-Latn-RS"/>
              </w:rPr>
            </w:pPr>
            <w:r>
              <w:rPr>
                <w:rFonts w:ascii="Times New Roman" w:eastAsia="Times New Roman" w:hAnsi="Times New Roman" w:cs="Times New Roman"/>
                <w:b/>
                <w:bCs/>
                <w:color w:val="000000"/>
                <w:sz w:val="20"/>
                <w:szCs w:val="20"/>
                <w:lang w:eastAsia="sr-Latn-RS"/>
              </w:rPr>
              <w:t>Наставник/наставници:</w:t>
            </w:r>
            <w:r>
              <w:rPr>
                <w:rFonts w:ascii="Times New Roman" w:eastAsia="Times New Roman" w:hAnsi="Times New Roman" w:cs="Times New Roman"/>
                <w:b/>
                <w:bCs/>
                <w:color w:val="000000"/>
                <w:sz w:val="20"/>
                <w:szCs w:val="20"/>
                <w:lang w:val="sr-Cyrl-RS" w:eastAsia="sr-Latn-RS"/>
              </w:rPr>
              <w:t xml:space="preserve"> </w:t>
            </w:r>
            <w:r w:rsidR="003C5388" w:rsidRPr="003C5388">
              <w:rPr>
                <w:rFonts w:ascii="Times New Roman" w:eastAsia="Times New Roman" w:hAnsi="Times New Roman" w:cs="Times New Roman"/>
                <w:color w:val="000000"/>
                <w:sz w:val="20"/>
                <w:szCs w:val="20"/>
                <w:lang w:eastAsia="sr-Latn-RS"/>
              </w:rPr>
              <w:t>Весна Симовић; страни лектор</w:t>
            </w:r>
          </w:p>
        </w:tc>
      </w:tr>
      <w:tr w:rsidR="003C5388" w:rsidRPr="003C5388" w:rsidTr="003C5388">
        <w:trPr>
          <w:trHeight w:val="227"/>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9916BA">
            <w:pPr>
              <w:spacing w:after="0" w:line="240" w:lineRule="auto"/>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 xml:space="preserve">Статус предмета: </w:t>
            </w:r>
            <w:r w:rsidRPr="003C5388">
              <w:rPr>
                <w:rFonts w:ascii="Times New Roman" w:eastAsia="Times New Roman" w:hAnsi="Times New Roman" w:cs="Times New Roman"/>
                <w:color w:val="000000"/>
                <w:sz w:val="20"/>
                <w:szCs w:val="20"/>
                <w:lang w:eastAsia="sr-Latn-RS"/>
              </w:rPr>
              <w:t>изборни</w:t>
            </w:r>
          </w:p>
        </w:tc>
      </w:tr>
      <w:tr w:rsidR="003C5388" w:rsidRPr="003C5388" w:rsidTr="003C5388">
        <w:trPr>
          <w:trHeight w:val="227"/>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9916BA">
            <w:pPr>
              <w:spacing w:after="0" w:line="240" w:lineRule="auto"/>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 xml:space="preserve">Број ЕСПБ: </w:t>
            </w:r>
            <w:r w:rsidRPr="003C5388">
              <w:rPr>
                <w:rFonts w:ascii="Times New Roman" w:eastAsia="Times New Roman" w:hAnsi="Times New Roman" w:cs="Times New Roman"/>
                <w:color w:val="000000"/>
                <w:sz w:val="20"/>
                <w:szCs w:val="20"/>
                <w:lang w:eastAsia="sr-Latn-RS"/>
              </w:rPr>
              <w:t>4</w:t>
            </w:r>
          </w:p>
        </w:tc>
      </w:tr>
      <w:tr w:rsidR="003C5388" w:rsidRPr="003C5388" w:rsidTr="003C5388">
        <w:trPr>
          <w:trHeight w:val="227"/>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3C5388">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 xml:space="preserve">Услов: </w:t>
            </w:r>
            <w:r w:rsidRPr="003C5388">
              <w:rPr>
                <w:rFonts w:ascii="Times New Roman" w:eastAsia="Times New Roman" w:hAnsi="Times New Roman" w:cs="Times New Roman"/>
                <w:color w:val="000000"/>
                <w:sz w:val="20"/>
                <w:szCs w:val="20"/>
                <w:lang w:eastAsia="sr-Latn-RS"/>
              </w:rPr>
              <w:t>Положен испит из Француског језика – почетни курс 1</w:t>
            </w:r>
          </w:p>
        </w:tc>
      </w:tr>
      <w:tr w:rsidR="003C5388" w:rsidRPr="003C5388" w:rsidTr="003C5388">
        <w:trPr>
          <w:trHeight w:val="227"/>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3C5388">
            <w:pPr>
              <w:spacing w:after="60" w:line="240" w:lineRule="auto"/>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Циљ предмета</w:t>
            </w:r>
          </w:p>
          <w:p w:rsidR="003C5388" w:rsidRPr="003C5388" w:rsidRDefault="003C5388" w:rsidP="003C5388">
            <w:pPr>
              <w:spacing w:after="60" w:line="227" w:lineRule="atLeast"/>
              <w:jc w:val="both"/>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Обнављање и проширивање језичких знања и вештина и припрема за прелазак на ниво А2.1 (уз интерактивну наставу и развијање аутономије у учењу).</w:t>
            </w:r>
          </w:p>
        </w:tc>
      </w:tr>
      <w:tr w:rsidR="003C5388" w:rsidRPr="003C5388" w:rsidTr="003C5388">
        <w:trPr>
          <w:trHeight w:val="227"/>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3C5388">
            <w:pPr>
              <w:spacing w:after="60" w:line="240" w:lineRule="auto"/>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Исход предмета </w:t>
            </w:r>
          </w:p>
          <w:p w:rsidR="003C5388" w:rsidRPr="003C5388" w:rsidRDefault="003C5388" w:rsidP="003C5388">
            <w:pPr>
              <w:spacing w:after="60" w:line="227" w:lineRule="atLeast"/>
              <w:jc w:val="both"/>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На нивоу А1.2 студенти разумеју и користе познате и свакодневне речи и изразе захваљујући којима могу да задовоље конкретне потребе. Студент може да се представи и представи неког другог, да постави и одговори на једноставна питања, да препозна познате речи у тексту (оглас, реклама, каталог), може да опише људе које познаје или своје пребивалиште, може да попуни формулар. Може да комуницира са саговорником који говори полако или по потреби понови или преформулише оно што је рекао.</w:t>
            </w:r>
          </w:p>
        </w:tc>
      </w:tr>
      <w:tr w:rsidR="003C5388" w:rsidRPr="003C5388" w:rsidTr="003C5388">
        <w:trPr>
          <w:trHeight w:val="227"/>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3C5388">
            <w:pPr>
              <w:spacing w:after="60" w:line="240" w:lineRule="auto"/>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Садржај предмета</w:t>
            </w:r>
          </w:p>
          <w:p w:rsidR="003C5388" w:rsidRPr="003C5388" w:rsidRDefault="003C5388" w:rsidP="003C5388">
            <w:pPr>
              <w:spacing w:after="0" w:line="240" w:lineRule="auto"/>
              <w:jc w:val="both"/>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Говорити о својим свакодневним обавезама; Разумети и попунити формулар; Телефонирати; Дати савет; Описати нечији физички изглед; Исказати осећања; Ситуирати, представити и описати неко место; Говорити о свом слободном времену; Исказати свој укус; Описати гардеробу; Окарактерисати неки предмет, исказати његову намену; Разумети опис смештаја; Направити списак за куповину; Исказати количину;</w:t>
            </w:r>
          </w:p>
          <w:p w:rsidR="003C5388" w:rsidRPr="003C5388" w:rsidRDefault="003C5388" w:rsidP="003C5388">
            <w:pPr>
              <w:spacing w:after="0" w:line="240" w:lineRule="auto"/>
              <w:jc w:val="both"/>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 </w:t>
            </w:r>
            <w:r w:rsidRPr="003C5388">
              <w:rPr>
                <w:rFonts w:ascii="Times New Roman" w:eastAsia="Times New Roman" w:hAnsi="Times New Roman" w:cs="Times New Roman"/>
                <w:i/>
                <w:iCs/>
                <w:color w:val="000000"/>
                <w:sz w:val="20"/>
                <w:szCs w:val="20"/>
                <w:lang w:eastAsia="sr-Latn-RS"/>
              </w:rPr>
              <w:t>Le passé composé</w:t>
            </w:r>
            <w:r w:rsidRPr="003C5388">
              <w:rPr>
                <w:rFonts w:ascii="Times New Roman" w:eastAsia="Times New Roman" w:hAnsi="Times New Roman" w:cs="Times New Roman"/>
                <w:color w:val="000000"/>
                <w:sz w:val="20"/>
                <w:szCs w:val="20"/>
                <w:lang w:eastAsia="sr-Latn-RS"/>
              </w:rPr>
              <w:t xml:space="preserve">, </w:t>
            </w:r>
            <w:r w:rsidRPr="003C5388">
              <w:rPr>
                <w:rFonts w:ascii="Times New Roman" w:eastAsia="Times New Roman" w:hAnsi="Times New Roman" w:cs="Times New Roman"/>
                <w:i/>
                <w:iCs/>
                <w:color w:val="000000"/>
                <w:sz w:val="20"/>
                <w:szCs w:val="20"/>
                <w:lang w:eastAsia="sr-Latn-RS"/>
              </w:rPr>
              <w:t>le futur proche</w:t>
            </w:r>
            <w:r w:rsidRPr="003C5388">
              <w:rPr>
                <w:rFonts w:ascii="Times New Roman" w:eastAsia="Times New Roman" w:hAnsi="Times New Roman" w:cs="Times New Roman"/>
                <w:color w:val="000000"/>
                <w:sz w:val="20"/>
                <w:szCs w:val="20"/>
                <w:lang w:eastAsia="sr-Latn-RS"/>
              </w:rPr>
              <w:t xml:space="preserve">, </w:t>
            </w:r>
            <w:r w:rsidRPr="003C5388">
              <w:rPr>
                <w:rFonts w:ascii="Times New Roman" w:eastAsia="Times New Roman" w:hAnsi="Times New Roman" w:cs="Times New Roman"/>
                <w:i/>
                <w:iCs/>
                <w:color w:val="000000"/>
                <w:sz w:val="20"/>
                <w:szCs w:val="20"/>
                <w:lang w:eastAsia="sr-Latn-RS"/>
              </w:rPr>
              <w:t>le  passé récent</w:t>
            </w:r>
            <w:r w:rsidRPr="003C5388">
              <w:rPr>
                <w:rFonts w:ascii="Times New Roman" w:eastAsia="Times New Roman" w:hAnsi="Times New Roman" w:cs="Times New Roman"/>
                <w:color w:val="000000"/>
                <w:sz w:val="20"/>
                <w:szCs w:val="20"/>
                <w:lang w:eastAsia="sr-Latn-RS"/>
              </w:rPr>
              <w:t xml:space="preserve">; Имперфекат; Футур; Императив; Неодређена заменица </w:t>
            </w:r>
            <w:r w:rsidRPr="003C5388">
              <w:rPr>
                <w:rFonts w:ascii="Times New Roman" w:eastAsia="Times New Roman" w:hAnsi="Times New Roman" w:cs="Times New Roman"/>
                <w:i/>
                <w:iCs/>
                <w:color w:val="000000"/>
                <w:sz w:val="20"/>
                <w:szCs w:val="20"/>
                <w:lang w:eastAsia="sr-Latn-RS"/>
              </w:rPr>
              <w:t>on</w:t>
            </w:r>
            <w:r w:rsidRPr="003C5388">
              <w:rPr>
                <w:rFonts w:ascii="Times New Roman" w:eastAsia="Times New Roman" w:hAnsi="Times New Roman" w:cs="Times New Roman"/>
                <w:color w:val="000000"/>
                <w:sz w:val="20"/>
                <w:szCs w:val="20"/>
                <w:lang w:eastAsia="sr-Latn-RS"/>
              </w:rPr>
              <w:t>; Описни придеви; Предлози; Личне заменице у функцији директног и индиректног објекта; Просте релативне заменице; Изрази за количину; Негација.</w:t>
            </w:r>
          </w:p>
          <w:p w:rsidR="003C5388" w:rsidRPr="003C5388" w:rsidRDefault="003C5388" w:rsidP="003C5388">
            <w:pPr>
              <w:spacing w:after="0" w:line="240" w:lineRule="auto"/>
              <w:jc w:val="both"/>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Колоквијуми (писмени и усмени).</w:t>
            </w:r>
          </w:p>
          <w:p w:rsidR="003C5388" w:rsidRPr="003C5388" w:rsidRDefault="003C5388" w:rsidP="003C5388">
            <w:pPr>
              <w:spacing w:after="0" w:line="227" w:lineRule="atLeast"/>
              <w:rPr>
                <w:rFonts w:ascii="Times New Roman" w:eastAsia="Times New Roman" w:hAnsi="Times New Roman" w:cs="Times New Roman"/>
                <w:sz w:val="24"/>
                <w:szCs w:val="24"/>
                <w:lang w:eastAsia="sr-Latn-RS"/>
              </w:rPr>
            </w:pPr>
          </w:p>
        </w:tc>
      </w:tr>
      <w:tr w:rsidR="003C5388" w:rsidRPr="003C5388" w:rsidTr="003C5388">
        <w:trPr>
          <w:trHeight w:val="227"/>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3C5388">
            <w:pPr>
              <w:spacing w:after="60" w:line="240" w:lineRule="auto"/>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Литература </w:t>
            </w:r>
          </w:p>
          <w:p w:rsidR="003C5388" w:rsidRPr="003C5388" w:rsidRDefault="003C5388" w:rsidP="003C5388">
            <w:pPr>
              <w:spacing w:after="0" w:line="240" w:lineRule="auto"/>
              <w:jc w:val="both"/>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Hugot, C.,et al</w:t>
            </w:r>
            <w:r w:rsidRPr="003C5388">
              <w:rPr>
                <w:rFonts w:ascii="Times New Roman" w:eastAsia="Times New Roman" w:hAnsi="Times New Roman" w:cs="Times New Roman"/>
                <w:i/>
                <w:iCs/>
                <w:color w:val="000000"/>
                <w:sz w:val="20"/>
                <w:szCs w:val="20"/>
                <w:lang w:eastAsia="sr-Latn-RS"/>
              </w:rPr>
              <w:t>., Alter ego+</w:t>
            </w:r>
            <w:r w:rsidRPr="003C5388">
              <w:rPr>
                <w:rFonts w:ascii="Times New Roman" w:eastAsia="Times New Roman" w:hAnsi="Times New Roman" w:cs="Times New Roman"/>
                <w:color w:val="000000"/>
                <w:sz w:val="20"/>
                <w:szCs w:val="20"/>
                <w:lang w:eastAsia="sr-Latn-RS"/>
              </w:rPr>
              <w:t xml:space="preserve"> </w:t>
            </w:r>
            <w:r w:rsidRPr="003C5388">
              <w:rPr>
                <w:rFonts w:ascii="Times New Roman" w:eastAsia="Times New Roman" w:hAnsi="Times New Roman" w:cs="Times New Roman"/>
                <w:i/>
                <w:iCs/>
                <w:color w:val="000000"/>
                <w:sz w:val="20"/>
                <w:szCs w:val="20"/>
                <w:lang w:eastAsia="sr-Latn-RS"/>
              </w:rPr>
              <w:t>1</w:t>
            </w:r>
            <w:r w:rsidRPr="003C5388">
              <w:rPr>
                <w:rFonts w:ascii="Times New Roman" w:eastAsia="Times New Roman" w:hAnsi="Times New Roman" w:cs="Times New Roman"/>
                <w:color w:val="000000"/>
                <w:sz w:val="20"/>
                <w:szCs w:val="20"/>
                <w:lang w:eastAsia="sr-Latn-RS"/>
              </w:rPr>
              <w:t>, Livre de l’élève et Cahier d’activités, Hachette, Paris, 2006;</w:t>
            </w:r>
          </w:p>
          <w:p w:rsidR="003C5388" w:rsidRPr="003C5388" w:rsidRDefault="003C4099" w:rsidP="003C5388">
            <w:pPr>
              <w:shd w:val="clear" w:color="auto" w:fill="FFFFFF"/>
              <w:spacing w:after="0" w:line="240" w:lineRule="auto"/>
              <w:rPr>
                <w:rFonts w:ascii="Times New Roman" w:eastAsia="Times New Roman" w:hAnsi="Times New Roman" w:cs="Times New Roman"/>
                <w:sz w:val="24"/>
                <w:szCs w:val="24"/>
                <w:lang w:eastAsia="sr-Latn-RS"/>
              </w:rPr>
            </w:pPr>
            <w:hyperlink r:id="rId7" w:history="1">
              <w:r w:rsidR="003C5388" w:rsidRPr="003C5388">
                <w:rPr>
                  <w:rFonts w:ascii="Times New Roman" w:eastAsia="Times New Roman" w:hAnsi="Times New Roman" w:cs="Times New Roman"/>
                  <w:color w:val="000000"/>
                  <w:sz w:val="20"/>
                  <w:szCs w:val="20"/>
                  <w:u w:val="single"/>
                  <w:lang w:eastAsia="sr-Latn-RS"/>
                </w:rPr>
                <w:t>Akyüz</w:t>
              </w:r>
            </w:hyperlink>
            <w:r w:rsidR="003C5388" w:rsidRPr="003C5388">
              <w:rPr>
                <w:rFonts w:ascii="Times New Roman" w:eastAsia="Times New Roman" w:hAnsi="Times New Roman" w:cs="Times New Roman"/>
                <w:color w:val="000000"/>
                <w:sz w:val="20"/>
                <w:szCs w:val="20"/>
                <w:lang w:eastAsia="sr-Latn-RS"/>
              </w:rPr>
              <w:t xml:space="preserve">, A. et al., </w:t>
            </w:r>
            <w:r w:rsidR="003C5388" w:rsidRPr="003C5388">
              <w:rPr>
                <w:rFonts w:ascii="Times New Roman" w:eastAsia="Times New Roman" w:hAnsi="Times New Roman" w:cs="Times New Roman"/>
                <w:i/>
                <w:iCs/>
                <w:color w:val="000000"/>
                <w:sz w:val="20"/>
                <w:szCs w:val="20"/>
                <w:lang w:eastAsia="sr-Latn-RS"/>
              </w:rPr>
              <w:t>Les 500 exercices de grammaire A1</w:t>
            </w:r>
            <w:r w:rsidR="003C5388" w:rsidRPr="003C5388">
              <w:rPr>
                <w:rFonts w:ascii="Times New Roman" w:eastAsia="Times New Roman" w:hAnsi="Times New Roman" w:cs="Times New Roman"/>
                <w:color w:val="000000"/>
                <w:sz w:val="20"/>
                <w:szCs w:val="20"/>
                <w:lang w:eastAsia="sr-Latn-RS"/>
              </w:rPr>
              <w:t>, Hachette, Paris, 2005 ;</w:t>
            </w:r>
          </w:p>
          <w:p w:rsidR="003C5388" w:rsidRPr="003C5388" w:rsidRDefault="003C5388" w:rsidP="003C5388">
            <w:pPr>
              <w:spacing w:after="0" w:line="240" w:lineRule="auto"/>
              <w:jc w:val="both"/>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i/>
                <w:iCs/>
                <w:color w:val="000000"/>
                <w:sz w:val="20"/>
                <w:szCs w:val="20"/>
                <w:lang w:eastAsia="sr-Latn-RS"/>
              </w:rPr>
              <w:t>Grammaire du français. Cours de la Sorbonne</w:t>
            </w:r>
            <w:r w:rsidRPr="003C5388">
              <w:rPr>
                <w:rFonts w:ascii="Times New Roman" w:eastAsia="Times New Roman" w:hAnsi="Times New Roman" w:cs="Times New Roman"/>
                <w:color w:val="000000"/>
                <w:sz w:val="20"/>
                <w:szCs w:val="20"/>
                <w:lang w:eastAsia="sr-Latn-RS"/>
              </w:rPr>
              <w:t>, Hachette, Paris, 1991;</w:t>
            </w:r>
          </w:p>
          <w:p w:rsidR="003C5388" w:rsidRPr="003C5388" w:rsidRDefault="003C5388" w:rsidP="003C5388">
            <w:pPr>
              <w:spacing w:after="0" w:line="240" w:lineRule="auto"/>
              <w:jc w:val="both"/>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i/>
                <w:iCs/>
                <w:color w:val="000000"/>
                <w:sz w:val="20"/>
                <w:szCs w:val="20"/>
                <w:lang w:eastAsia="sr-Latn-RS"/>
              </w:rPr>
              <w:t>Le micro Robert.</w:t>
            </w:r>
            <w:r w:rsidRPr="003C5388">
              <w:rPr>
                <w:rFonts w:ascii="Times New Roman" w:eastAsia="Times New Roman" w:hAnsi="Times New Roman" w:cs="Times New Roman"/>
                <w:color w:val="000000"/>
                <w:sz w:val="20"/>
                <w:szCs w:val="20"/>
                <w:lang w:eastAsia="sr-Latn-RS"/>
              </w:rPr>
              <w:t xml:space="preserve"> Dictionnaire du français, Le Robert, Paris (било које издање) или</w:t>
            </w:r>
          </w:p>
          <w:p w:rsidR="003C5388" w:rsidRPr="003C5388" w:rsidRDefault="003C5388" w:rsidP="003C5388">
            <w:pPr>
              <w:spacing w:after="0" w:line="227" w:lineRule="atLeast"/>
              <w:ind w:left="17"/>
              <w:jc w:val="both"/>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i/>
                <w:iCs/>
                <w:color w:val="000000"/>
                <w:sz w:val="20"/>
                <w:szCs w:val="20"/>
                <w:lang w:eastAsia="sr-Latn-RS"/>
              </w:rPr>
              <w:t>Le Petit Robert</w:t>
            </w:r>
            <w:r w:rsidRPr="003C5388">
              <w:rPr>
                <w:rFonts w:ascii="Times New Roman" w:eastAsia="Times New Roman" w:hAnsi="Times New Roman" w:cs="Times New Roman"/>
                <w:color w:val="000000"/>
                <w:sz w:val="20"/>
                <w:szCs w:val="20"/>
                <w:lang w:eastAsia="sr-Latn-RS"/>
              </w:rPr>
              <w:t>. Dictionnaire du français, Le Robert, Paris (било које издање).</w:t>
            </w:r>
          </w:p>
        </w:tc>
      </w:tr>
      <w:tr w:rsidR="009916BA" w:rsidRPr="003C5388" w:rsidTr="009916BA">
        <w:trPr>
          <w:trHeight w:val="227"/>
          <w:jc w:val="center"/>
        </w:trPr>
        <w:tc>
          <w:tcPr>
            <w:tcW w:w="3634" w:type="dxa"/>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hideMark/>
          </w:tcPr>
          <w:p w:rsidR="003C5388" w:rsidRPr="003C5388" w:rsidRDefault="003C5388" w:rsidP="009916BA">
            <w:pPr>
              <w:spacing w:after="60" w:line="240" w:lineRule="auto"/>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Број часова  активне наставе</w:t>
            </w:r>
          </w:p>
        </w:tc>
        <w:tc>
          <w:tcPr>
            <w:tcW w:w="2703" w:type="dxa"/>
            <w:gridSpan w:val="3"/>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hideMark/>
          </w:tcPr>
          <w:p w:rsidR="003C5388" w:rsidRPr="003C5388" w:rsidRDefault="003C5388" w:rsidP="009916BA">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Теоријска настава: 2 </w:t>
            </w:r>
          </w:p>
        </w:tc>
        <w:tc>
          <w:tcPr>
            <w:tcW w:w="2946" w:type="dxa"/>
            <w:gridSpan w:val="2"/>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hideMark/>
          </w:tcPr>
          <w:p w:rsidR="003C5388" w:rsidRPr="003C5388" w:rsidRDefault="003C5388" w:rsidP="009916BA">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Практична настава: 2 </w:t>
            </w:r>
          </w:p>
        </w:tc>
      </w:tr>
      <w:tr w:rsidR="003C5388" w:rsidRPr="003C5388" w:rsidTr="003C5388">
        <w:trPr>
          <w:trHeight w:val="227"/>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3C5388">
            <w:pPr>
              <w:spacing w:after="60" w:line="240" w:lineRule="auto"/>
              <w:jc w:val="both"/>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Методе извођења наставе</w:t>
            </w:r>
          </w:p>
          <w:p w:rsidR="003C5388" w:rsidRPr="003C5388" w:rsidRDefault="003C5388" w:rsidP="003C5388">
            <w:pPr>
              <w:spacing w:after="60" w:line="227" w:lineRule="atLeast"/>
              <w:jc w:val="both"/>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Комуникативна метода, пројектни и рад по задацима; интерактивни рад; варирање облика рада, од индивидуалног до групног.</w:t>
            </w:r>
          </w:p>
        </w:tc>
      </w:tr>
      <w:tr w:rsidR="003C5388" w:rsidRPr="003C5388" w:rsidTr="003C5388">
        <w:trPr>
          <w:trHeight w:val="227"/>
          <w:jc w:val="center"/>
        </w:trPr>
        <w:tc>
          <w:tcPr>
            <w:tcW w:w="0" w:type="auto"/>
            <w:gridSpan w:val="6"/>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3C5388">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Оцена  знања (максимални број поена 100)</w:t>
            </w:r>
          </w:p>
        </w:tc>
      </w:tr>
      <w:tr w:rsidR="009916BA" w:rsidRPr="003C5388" w:rsidTr="009916BA">
        <w:trPr>
          <w:trHeight w:val="227"/>
          <w:jc w:val="center"/>
        </w:trPr>
        <w:tc>
          <w:tcPr>
            <w:tcW w:w="4099" w:type="dxa"/>
            <w:gridSpan w:val="2"/>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hideMark/>
          </w:tcPr>
          <w:p w:rsidR="003C5388" w:rsidRPr="003C5388" w:rsidRDefault="003C5388" w:rsidP="009916BA">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Предиспитне обавезе</w:t>
            </w:r>
          </w:p>
        </w:tc>
        <w:tc>
          <w:tcPr>
            <w:tcW w:w="1726" w:type="dxa"/>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hideMark/>
          </w:tcPr>
          <w:p w:rsidR="003C5388" w:rsidRPr="003C5388" w:rsidRDefault="003C5388" w:rsidP="009916BA">
            <w:pPr>
              <w:spacing w:after="60" w:line="240" w:lineRule="auto"/>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поена</w:t>
            </w:r>
          </w:p>
          <w:p w:rsidR="003C5388" w:rsidRPr="003C5388" w:rsidRDefault="003C5388" w:rsidP="009916BA">
            <w:pPr>
              <w:spacing w:after="0" w:line="227" w:lineRule="atLeast"/>
              <w:rPr>
                <w:rFonts w:ascii="Times New Roman" w:eastAsia="Times New Roman" w:hAnsi="Times New Roman" w:cs="Times New Roman"/>
                <w:sz w:val="24"/>
                <w:szCs w:val="24"/>
                <w:lang w:eastAsia="sr-Latn-RS"/>
              </w:rPr>
            </w:pPr>
          </w:p>
        </w:tc>
        <w:tc>
          <w:tcPr>
            <w:tcW w:w="2085" w:type="dxa"/>
            <w:gridSpan w:val="2"/>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hideMark/>
          </w:tcPr>
          <w:p w:rsidR="003C5388" w:rsidRPr="003C5388" w:rsidRDefault="003C5388" w:rsidP="009916BA">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b/>
                <w:bCs/>
                <w:color w:val="000000"/>
                <w:sz w:val="20"/>
                <w:szCs w:val="20"/>
                <w:lang w:eastAsia="sr-Latn-RS"/>
              </w:rPr>
              <w:t>Завршни испит </w:t>
            </w:r>
          </w:p>
        </w:tc>
        <w:tc>
          <w:tcPr>
            <w:tcW w:w="0" w:type="auto"/>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hideMark/>
          </w:tcPr>
          <w:p w:rsidR="003C5388" w:rsidRPr="003C5388" w:rsidRDefault="003C5388" w:rsidP="009916BA">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поена</w:t>
            </w:r>
          </w:p>
        </w:tc>
      </w:tr>
      <w:tr w:rsidR="009916BA" w:rsidRPr="003C5388" w:rsidTr="009916BA">
        <w:trPr>
          <w:trHeight w:val="227"/>
          <w:jc w:val="center"/>
        </w:trPr>
        <w:tc>
          <w:tcPr>
            <w:tcW w:w="4099" w:type="dxa"/>
            <w:gridSpan w:val="2"/>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3C5388">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активност у току предавања</w:t>
            </w:r>
          </w:p>
        </w:tc>
        <w:tc>
          <w:tcPr>
            <w:tcW w:w="1726" w:type="dxa"/>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3C5388">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10</w:t>
            </w:r>
          </w:p>
        </w:tc>
        <w:tc>
          <w:tcPr>
            <w:tcW w:w="2085" w:type="dxa"/>
            <w:gridSpan w:val="2"/>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3C5388">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писмени испит</w:t>
            </w:r>
          </w:p>
        </w:tc>
        <w:tc>
          <w:tcPr>
            <w:tcW w:w="0" w:type="auto"/>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3C5388" w:rsidRPr="003C5388" w:rsidRDefault="003C5388" w:rsidP="003C5388">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20</w:t>
            </w:r>
          </w:p>
        </w:tc>
      </w:tr>
      <w:tr w:rsidR="009916BA" w:rsidRPr="003C5388" w:rsidTr="009916BA">
        <w:trPr>
          <w:trHeight w:val="227"/>
          <w:jc w:val="center"/>
        </w:trPr>
        <w:tc>
          <w:tcPr>
            <w:tcW w:w="4099" w:type="dxa"/>
            <w:gridSpan w:val="2"/>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9916BA" w:rsidRPr="003C5388" w:rsidRDefault="009916BA" w:rsidP="00D7115D">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колоквијум-и</w:t>
            </w:r>
          </w:p>
        </w:tc>
        <w:tc>
          <w:tcPr>
            <w:tcW w:w="1726" w:type="dxa"/>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9916BA" w:rsidRPr="003C5388" w:rsidRDefault="009916BA" w:rsidP="00D7115D">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50</w:t>
            </w:r>
          </w:p>
        </w:tc>
        <w:tc>
          <w:tcPr>
            <w:tcW w:w="2085" w:type="dxa"/>
            <w:gridSpan w:val="2"/>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9916BA" w:rsidRPr="003C5388" w:rsidRDefault="009916BA" w:rsidP="003C5388">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усмени испт</w:t>
            </w:r>
          </w:p>
        </w:tc>
        <w:tc>
          <w:tcPr>
            <w:tcW w:w="0" w:type="auto"/>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vAlign w:val="center"/>
            <w:hideMark/>
          </w:tcPr>
          <w:p w:rsidR="009916BA" w:rsidRPr="003C5388" w:rsidRDefault="009916BA" w:rsidP="003C5388">
            <w:pPr>
              <w:spacing w:after="60" w:line="227" w:lineRule="atLeast"/>
              <w:rPr>
                <w:rFonts w:ascii="Times New Roman" w:eastAsia="Times New Roman" w:hAnsi="Times New Roman" w:cs="Times New Roman"/>
                <w:sz w:val="24"/>
                <w:szCs w:val="24"/>
                <w:lang w:eastAsia="sr-Latn-RS"/>
              </w:rPr>
            </w:pPr>
            <w:r w:rsidRPr="003C5388">
              <w:rPr>
                <w:rFonts w:ascii="Times New Roman" w:eastAsia="Times New Roman" w:hAnsi="Times New Roman" w:cs="Times New Roman"/>
                <w:color w:val="000000"/>
                <w:sz w:val="20"/>
                <w:szCs w:val="20"/>
                <w:lang w:eastAsia="sr-Latn-RS"/>
              </w:rPr>
              <w:t>20</w:t>
            </w:r>
          </w:p>
        </w:tc>
      </w:tr>
    </w:tbl>
    <w:p w:rsidR="003C5388" w:rsidRDefault="003C5388" w:rsidP="003C5388">
      <w:pPr>
        <w:jc w:val="center"/>
      </w:pPr>
    </w:p>
    <w:sectPr w:rsidR="003C53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099" w:rsidRDefault="003C4099" w:rsidP="003C5388">
      <w:pPr>
        <w:spacing w:after="0" w:line="240" w:lineRule="auto"/>
      </w:pPr>
      <w:r>
        <w:separator/>
      </w:r>
    </w:p>
  </w:endnote>
  <w:endnote w:type="continuationSeparator" w:id="0">
    <w:p w:rsidR="003C4099" w:rsidRDefault="003C4099" w:rsidP="003C5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099" w:rsidRDefault="003C4099" w:rsidP="003C5388">
      <w:pPr>
        <w:spacing w:after="0" w:line="240" w:lineRule="auto"/>
      </w:pPr>
      <w:r>
        <w:separator/>
      </w:r>
    </w:p>
  </w:footnote>
  <w:footnote w:type="continuationSeparator" w:id="0">
    <w:p w:rsidR="003C4099" w:rsidRDefault="003C4099" w:rsidP="003C53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58" w:type="dxa"/>
      <w:jc w:val="center"/>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6368"/>
      <w:gridCol w:w="1656"/>
    </w:tblGrid>
    <w:tr w:rsidR="003C5388" w:rsidTr="00D7115D">
      <w:trPr>
        <w:trHeight w:val="367"/>
        <w:jc w:val="center"/>
      </w:trPr>
      <w:tc>
        <w:tcPr>
          <w:tcW w:w="1634" w:type="dxa"/>
          <w:vMerge w:val="restart"/>
          <w:vAlign w:val="center"/>
        </w:tcPr>
        <w:p w:rsidR="003C5388" w:rsidRPr="00A17D22" w:rsidRDefault="003C5388" w:rsidP="00D7115D">
          <w:pPr>
            <w:pStyle w:val="Header"/>
            <w:jc w:val="center"/>
          </w:pPr>
          <w:r>
            <w:rPr>
              <w:noProof/>
              <w:lang w:val="sr-Latn-RS" w:eastAsia="sr-Latn-RS"/>
            </w:rPr>
            <w:drawing>
              <wp:inline distT="0" distB="0" distL="0" distR="0" wp14:anchorId="21CB542E" wp14:editId="10692DF3">
                <wp:extent cx="899160" cy="899160"/>
                <wp:effectExtent l="0" t="0" r="0" b="0"/>
                <wp:docPr id="1" name="Picture 1" descr="U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899160"/>
                        </a:xfrm>
                        <a:prstGeom prst="rect">
                          <a:avLst/>
                        </a:prstGeom>
                        <a:noFill/>
                        <a:ln>
                          <a:noFill/>
                        </a:ln>
                      </pic:spPr>
                    </pic:pic>
                  </a:graphicData>
                </a:graphic>
              </wp:inline>
            </w:drawing>
          </w:r>
        </w:p>
      </w:tc>
      <w:tc>
        <w:tcPr>
          <w:tcW w:w="6368" w:type="dxa"/>
          <w:shd w:val="clear" w:color="auto" w:fill="FFFFFF"/>
          <w:vAlign w:val="center"/>
        </w:tcPr>
        <w:p w:rsidR="003C5388" w:rsidRPr="00B525D1" w:rsidRDefault="003C5388" w:rsidP="00D7115D">
          <w:pPr>
            <w:pStyle w:val="Header"/>
            <w:jc w:val="center"/>
            <w:rPr>
              <w:rFonts w:ascii="Times New Roman" w:hAnsi="Times New Roman" w:cs="Times New Roman"/>
              <w:b/>
              <w:color w:val="333399"/>
              <w:sz w:val="24"/>
              <w:szCs w:val="24"/>
            </w:rPr>
          </w:pPr>
          <w:r w:rsidRPr="00B525D1">
            <w:rPr>
              <w:rFonts w:ascii="Times New Roman" w:hAnsi="Times New Roman" w:cs="Times New Roman"/>
              <w:b/>
              <w:color w:val="333399"/>
              <w:sz w:val="24"/>
              <w:szCs w:val="24"/>
              <w:lang w:val="sr-Cyrl-CS"/>
            </w:rPr>
            <w:t>Универзитет у Нишу</w:t>
          </w:r>
        </w:p>
        <w:p w:rsidR="003C5388" w:rsidRPr="00B525D1" w:rsidRDefault="003C5388" w:rsidP="00D7115D">
          <w:pPr>
            <w:pStyle w:val="Header"/>
            <w:jc w:val="center"/>
            <w:rPr>
              <w:rFonts w:ascii="Times New Roman" w:hAnsi="Times New Roman" w:cs="Times New Roman"/>
              <w:color w:val="333399"/>
              <w:sz w:val="24"/>
              <w:szCs w:val="24"/>
            </w:rPr>
          </w:pPr>
          <w:r w:rsidRPr="00B525D1">
            <w:rPr>
              <w:rFonts w:ascii="Times New Roman" w:hAnsi="Times New Roman" w:cs="Times New Roman"/>
              <w:b/>
              <w:color w:val="333399"/>
              <w:sz w:val="24"/>
              <w:szCs w:val="24"/>
              <w:lang w:val="sr-Cyrl-CS"/>
            </w:rPr>
            <w:t>Филозофски факултет</w:t>
          </w:r>
        </w:p>
      </w:tc>
      <w:tc>
        <w:tcPr>
          <w:tcW w:w="1656" w:type="dxa"/>
          <w:vMerge w:val="restart"/>
          <w:vAlign w:val="center"/>
        </w:tcPr>
        <w:p w:rsidR="003C5388" w:rsidRDefault="003C5388" w:rsidP="00D7115D">
          <w:pPr>
            <w:pStyle w:val="Header"/>
            <w:jc w:val="center"/>
          </w:pPr>
          <w:r>
            <w:rPr>
              <w:noProof/>
              <w:lang w:val="sr-Latn-RS" w:eastAsia="sr-Latn-RS"/>
            </w:rPr>
            <w:drawing>
              <wp:inline distT="0" distB="0" distL="0" distR="0" wp14:anchorId="2574C9D7" wp14:editId="0C7005B7">
                <wp:extent cx="914400" cy="914400"/>
                <wp:effectExtent l="0" t="0" r="0" b="0"/>
                <wp:docPr id="2" name="Picture 2" descr="logo fakult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akultet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r>
    <w:tr w:rsidR="003C5388" w:rsidTr="00D7115D">
      <w:trPr>
        <w:trHeight w:val="467"/>
        <w:jc w:val="center"/>
      </w:trPr>
      <w:tc>
        <w:tcPr>
          <w:tcW w:w="1634" w:type="dxa"/>
          <w:vMerge/>
        </w:tcPr>
        <w:p w:rsidR="003C5388" w:rsidRPr="00A17D22" w:rsidRDefault="003C5388" w:rsidP="00D7115D">
          <w:pPr>
            <w:pStyle w:val="Header"/>
          </w:pPr>
        </w:p>
      </w:tc>
      <w:tc>
        <w:tcPr>
          <w:tcW w:w="6368" w:type="dxa"/>
          <w:shd w:val="clear" w:color="auto" w:fill="E6E6E6"/>
          <w:vAlign w:val="center"/>
        </w:tcPr>
        <w:p w:rsidR="003C5388" w:rsidRPr="00B525D1" w:rsidRDefault="003C5388" w:rsidP="00D7115D">
          <w:pPr>
            <w:pStyle w:val="Header"/>
            <w:jc w:val="center"/>
            <w:rPr>
              <w:rFonts w:ascii="Times New Roman" w:hAnsi="Times New Roman" w:cs="Times New Roman"/>
              <w:b/>
              <w:color w:val="333399"/>
              <w:sz w:val="24"/>
              <w:szCs w:val="24"/>
              <w:lang w:val="sr-Cyrl-RS"/>
            </w:rPr>
          </w:pPr>
          <w:r w:rsidRPr="00B525D1">
            <w:rPr>
              <w:rFonts w:ascii="Times New Roman" w:hAnsi="Times New Roman" w:cs="Times New Roman"/>
              <w:b/>
              <w:color w:val="333399"/>
              <w:sz w:val="24"/>
              <w:szCs w:val="24"/>
              <w:lang w:val="sr-Cyrl-CS"/>
            </w:rPr>
            <w:t>Акредитација</w:t>
          </w:r>
          <w:r w:rsidRPr="00B525D1">
            <w:rPr>
              <w:rFonts w:ascii="Times New Roman" w:hAnsi="Times New Roman" w:cs="Times New Roman"/>
              <w:b/>
              <w:color w:val="333399"/>
              <w:sz w:val="24"/>
              <w:szCs w:val="24"/>
              <w:lang w:val="en-US"/>
            </w:rPr>
            <w:t xml:space="preserve"> </w:t>
          </w:r>
          <w:r w:rsidRPr="00B525D1">
            <w:rPr>
              <w:rFonts w:ascii="Times New Roman" w:hAnsi="Times New Roman" w:cs="Times New Roman"/>
              <w:b/>
              <w:color w:val="333399"/>
              <w:sz w:val="24"/>
              <w:szCs w:val="24"/>
              <w:lang w:val="sr-Cyrl-RS"/>
            </w:rPr>
            <w:t>студијског програма</w:t>
          </w:r>
        </w:p>
      </w:tc>
      <w:tc>
        <w:tcPr>
          <w:tcW w:w="1656" w:type="dxa"/>
          <w:vMerge/>
        </w:tcPr>
        <w:p w:rsidR="003C5388" w:rsidRPr="004B02EB" w:rsidRDefault="003C5388" w:rsidP="00D7115D">
          <w:pPr>
            <w:pStyle w:val="Header"/>
            <w:jc w:val="right"/>
            <w:rPr>
              <w:lang w:val="sr-Cyrl-CS"/>
            </w:rPr>
          </w:pPr>
        </w:p>
      </w:tc>
    </w:tr>
    <w:tr w:rsidR="003C5388" w:rsidTr="00D7115D">
      <w:trPr>
        <w:trHeight w:val="449"/>
        <w:jc w:val="center"/>
      </w:trPr>
      <w:tc>
        <w:tcPr>
          <w:tcW w:w="1634" w:type="dxa"/>
          <w:vMerge/>
        </w:tcPr>
        <w:p w:rsidR="003C5388" w:rsidRPr="00A17D22" w:rsidRDefault="003C5388" w:rsidP="00D7115D">
          <w:pPr>
            <w:pStyle w:val="Header"/>
          </w:pPr>
        </w:p>
      </w:tc>
      <w:tc>
        <w:tcPr>
          <w:tcW w:w="6368" w:type="dxa"/>
          <w:shd w:val="clear" w:color="auto" w:fill="FFFFFF"/>
          <w:vAlign w:val="center"/>
        </w:tcPr>
        <w:p w:rsidR="003C5388" w:rsidRPr="00B525D1" w:rsidRDefault="003C5388" w:rsidP="00D7115D">
          <w:pPr>
            <w:pStyle w:val="Header"/>
            <w:jc w:val="center"/>
            <w:rPr>
              <w:rFonts w:ascii="Times New Roman" w:hAnsi="Times New Roman" w:cs="Times New Roman"/>
              <w:b/>
              <w:color w:val="333399"/>
              <w:sz w:val="24"/>
              <w:szCs w:val="24"/>
              <w:lang w:val="sr-Cyrl-RS"/>
            </w:rPr>
          </w:pPr>
          <w:r w:rsidRPr="00B525D1">
            <w:rPr>
              <w:rFonts w:ascii="Times New Roman" w:hAnsi="Times New Roman" w:cs="Times New Roman"/>
              <w:b/>
              <w:color w:val="333399"/>
              <w:sz w:val="24"/>
              <w:szCs w:val="24"/>
              <w:lang w:val="sr-Cyrl-RS"/>
            </w:rPr>
            <w:t xml:space="preserve">Основне академске студије социјалне политике </w:t>
          </w:r>
        </w:p>
        <w:p w:rsidR="003C5388" w:rsidRPr="00B525D1" w:rsidRDefault="003C5388" w:rsidP="00D7115D">
          <w:pPr>
            <w:pStyle w:val="Header"/>
            <w:jc w:val="center"/>
            <w:rPr>
              <w:rFonts w:ascii="Times New Roman" w:hAnsi="Times New Roman" w:cs="Times New Roman"/>
              <w:b/>
              <w:color w:val="333399"/>
              <w:sz w:val="24"/>
              <w:szCs w:val="24"/>
              <w:lang w:val="sr-Cyrl-RS"/>
            </w:rPr>
          </w:pPr>
          <w:r w:rsidRPr="00B525D1">
            <w:rPr>
              <w:rFonts w:ascii="Times New Roman" w:hAnsi="Times New Roman" w:cs="Times New Roman"/>
              <w:b/>
              <w:color w:val="333399"/>
              <w:sz w:val="24"/>
              <w:szCs w:val="24"/>
              <w:lang w:val="sr-Cyrl-RS"/>
            </w:rPr>
            <w:t>и социјалног рада</w:t>
          </w:r>
        </w:p>
      </w:tc>
      <w:tc>
        <w:tcPr>
          <w:tcW w:w="1656" w:type="dxa"/>
          <w:vMerge/>
        </w:tcPr>
        <w:p w:rsidR="003C5388" w:rsidRPr="004B02EB" w:rsidRDefault="003C5388" w:rsidP="00D7115D">
          <w:pPr>
            <w:pStyle w:val="Header"/>
            <w:jc w:val="right"/>
            <w:rPr>
              <w:lang w:val="sr-Cyrl-CS"/>
            </w:rPr>
          </w:pPr>
        </w:p>
      </w:tc>
    </w:tr>
  </w:tbl>
  <w:p w:rsidR="003C5388" w:rsidRDefault="003C53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388"/>
    <w:rsid w:val="00226D16"/>
    <w:rsid w:val="00242A54"/>
    <w:rsid w:val="00245886"/>
    <w:rsid w:val="003C4099"/>
    <w:rsid w:val="003C5388"/>
    <w:rsid w:val="004B0146"/>
    <w:rsid w:val="009916B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5388"/>
    <w:pPr>
      <w:spacing w:before="100" w:beforeAutospacing="1" w:after="100" w:afterAutospacing="1" w:line="240" w:lineRule="auto"/>
    </w:pPr>
    <w:rPr>
      <w:rFonts w:ascii="Times New Roman" w:eastAsia="Times New Roman" w:hAnsi="Times New Roman" w:cs="Times New Roman"/>
      <w:sz w:val="24"/>
      <w:szCs w:val="24"/>
      <w:lang w:eastAsia="sr-Latn-RS"/>
    </w:rPr>
  </w:style>
  <w:style w:type="character" w:styleId="Hyperlink">
    <w:name w:val="Hyperlink"/>
    <w:basedOn w:val="DefaultParagraphFont"/>
    <w:uiPriority w:val="99"/>
    <w:semiHidden/>
    <w:unhideWhenUsed/>
    <w:rsid w:val="003C5388"/>
    <w:rPr>
      <w:color w:val="0000FF"/>
      <w:u w:val="single"/>
    </w:rPr>
  </w:style>
  <w:style w:type="paragraph" w:styleId="Header">
    <w:name w:val="header"/>
    <w:basedOn w:val="Normal"/>
    <w:link w:val="HeaderChar"/>
    <w:unhideWhenUsed/>
    <w:rsid w:val="003C5388"/>
    <w:pPr>
      <w:widowControl w:val="0"/>
      <w:tabs>
        <w:tab w:val="center" w:pos="4535"/>
        <w:tab w:val="right" w:pos="9071"/>
      </w:tabs>
      <w:spacing w:after="0" w:line="240" w:lineRule="auto"/>
    </w:pPr>
    <w:rPr>
      <w:rFonts w:ascii="Calibri" w:eastAsia="Calibri" w:hAnsi="Calibri" w:cs="Calibri"/>
      <w:sz w:val="20"/>
      <w:szCs w:val="20"/>
      <w:lang w:val="sr-Latn-CS" w:eastAsia="sr-Latn-CS"/>
    </w:rPr>
  </w:style>
  <w:style w:type="character" w:customStyle="1" w:styleId="HeaderChar">
    <w:name w:val="Header Char"/>
    <w:basedOn w:val="DefaultParagraphFont"/>
    <w:link w:val="Header"/>
    <w:uiPriority w:val="99"/>
    <w:rsid w:val="003C5388"/>
    <w:rPr>
      <w:rFonts w:ascii="Calibri" w:eastAsia="Calibri" w:hAnsi="Calibri" w:cs="Calibri"/>
      <w:sz w:val="20"/>
      <w:szCs w:val="20"/>
      <w:lang w:val="sr-Latn-CS" w:eastAsia="sr-Latn-CS"/>
    </w:rPr>
  </w:style>
  <w:style w:type="paragraph" w:styleId="BalloonText">
    <w:name w:val="Balloon Text"/>
    <w:basedOn w:val="Normal"/>
    <w:link w:val="BalloonTextChar"/>
    <w:uiPriority w:val="99"/>
    <w:semiHidden/>
    <w:unhideWhenUsed/>
    <w:rsid w:val="003C53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388"/>
    <w:rPr>
      <w:rFonts w:ascii="Tahoma" w:hAnsi="Tahoma" w:cs="Tahoma"/>
      <w:sz w:val="16"/>
      <w:szCs w:val="16"/>
    </w:rPr>
  </w:style>
  <w:style w:type="paragraph" w:styleId="Footer">
    <w:name w:val="footer"/>
    <w:basedOn w:val="Normal"/>
    <w:link w:val="FooterChar"/>
    <w:uiPriority w:val="99"/>
    <w:unhideWhenUsed/>
    <w:rsid w:val="003C538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53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5388"/>
    <w:pPr>
      <w:spacing w:before="100" w:beforeAutospacing="1" w:after="100" w:afterAutospacing="1" w:line="240" w:lineRule="auto"/>
    </w:pPr>
    <w:rPr>
      <w:rFonts w:ascii="Times New Roman" w:eastAsia="Times New Roman" w:hAnsi="Times New Roman" w:cs="Times New Roman"/>
      <w:sz w:val="24"/>
      <w:szCs w:val="24"/>
      <w:lang w:eastAsia="sr-Latn-RS"/>
    </w:rPr>
  </w:style>
  <w:style w:type="character" w:styleId="Hyperlink">
    <w:name w:val="Hyperlink"/>
    <w:basedOn w:val="DefaultParagraphFont"/>
    <w:uiPriority w:val="99"/>
    <w:semiHidden/>
    <w:unhideWhenUsed/>
    <w:rsid w:val="003C5388"/>
    <w:rPr>
      <w:color w:val="0000FF"/>
      <w:u w:val="single"/>
    </w:rPr>
  </w:style>
  <w:style w:type="paragraph" w:styleId="Header">
    <w:name w:val="header"/>
    <w:basedOn w:val="Normal"/>
    <w:link w:val="HeaderChar"/>
    <w:unhideWhenUsed/>
    <w:rsid w:val="003C5388"/>
    <w:pPr>
      <w:widowControl w:val="0"/>
      <w:tabs>
        <w:tab w:val="center" w:pos="4535"/>
        <w:tab w:val="right" w:pos="9071"/>
      </w:tabs>
      <w:spacing w:after="0" w:line="240" w:lineRule="auto"/>
    </w:pPr>
    <w:rPr>
      <w:rFonts w:ascii="Calibri" w:eastAsia="Calibri" w:hAnsi="Calibri" w:cs="Calibri"/>
      <w:sz w:val="20"/>
      <w:szCs w:val="20"/>
      <w:lang w:val="sr-Latn-CS" w:eastAsia="sr-Latn-CS"/>
    </w:rPr>
  </w:style>
  <w:style w:type="character" w:customStyle="1" w:styleId="HeaderChar">
    <w:name w:val="Header Char"/>
    <w:basedOn w:val="DefaultParagraphFont"/>
    <w:link w:val="Header"/>
    <w:uiPriority w:val="99"/>
    <w:rsid w:val="003C5388"/>
    <w:rPr>
      <w:rFonts w:ascii="Calibri" w:eastAsia="Calibri" w:hAnsi="Calibri" w:cs="Calibri"/>
      <w:sz w:val="20"/>
      <w:szCs w:val="20"/>
      <w:lang w:val="sr-Latn-CS" w:eastAsia="sr-Latn-CS"/>
    </w:rPr>
  </w:style>
  <w:style w:type="paragraph" w:styleId="BalloonText">
    <w:name w:val="Balloon Text"/>
    <w:basedOn w:val="Normal"/>
    <w:link w:val="BalloonTextChar"/>
    <w:uiPriority w:val="99"/>
    <w:semiHidden/>
    <w:unhideWhenUsed/>
    <w:rsid w:val="003C53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388"/>
    <w:rPr>
      <w:rFonts w:ascii="Tahoma" w:hAnsi="Tahoma" w:cs="Tahoma"/>
      <w:sz w:val="16"/>
      <w:szCs w:val="16"/>
    </w:rPr>
  </w:style>
  <w:style w:type="paragraph" w:styleId="Footer">
    <w:name w:val="footer"/>
    <w:basedOn w:val="Normal"/>
    <w:link w:val="FooterChar"/>
    <w:uiPriority w:val="99"/>
    <w:unhideWhenUsed/>
    <w:rsid w:val="003C538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5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3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hachettefle.com/auteur/anne-akyu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LMR</dc:creator>
  <cp:lastModifiedBy>LMR</cp:lastModifiedBy>
  <cp:revision>3</cp:revision>
  <dcterms:created xsi:type="dcterms:W3CDTF">2022-04-13T21:45:00Z</dcterms:created>
  <dcterms:modified xsi:type="dcterms:W3CDTF">2022-04-14T03:07:00Z</dcterms:modified>
</cp:coreProperties>
</file>